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napToGrid w:val="0"/>
        <w:spacing w:line="324" w:lineRule="auto"/>
        <w:ind w:firstLine="720" w:firstLineChars="20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第二十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 w:cs="宋体"/>
          <w:sz w:val="36"/>
          <w:szCs w:val="36"/>
        </w:rPr>
        <w:t>届中国农产品加工业投资贸易洽谈会参展中小企业产品征集表</w:t>
      </w:r>
    </w:p>
    <w:tbl>
      <w:tblPr>
        <w:tblStyle w:val="6"/>
        <w:tblW w:w="1412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852"/>
        <w:gridCol w:w="3968"/>
        <w:gridCol w:w="1176"/>
        <w:gridCol w:w="264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企业名称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参展产品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拟占展位数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联系人及电话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4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852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64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41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3FE9"/>
    <w:rsid w:val="09BE3F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2018-06-19T01:15:00Z</dcterms:created>
  <dc:creator>Administrator</dc:creator>
  <cp:lastModifiedBy>Administrator</cp:lastModifiedBy>
  <dcterms:modified xsi:type="dcterms:W3CDTF">2018-06-19T01:16:12Z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